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_GB2312" w:eastAsia="仿宋_GB2312"/>
          <w:sz w:val="28"/>
          <w:szCs w:val="28"/>
        </w:rPr>
      </w:pPr>
      <w:r>
        <w:rPr>
          <w:rFonts w:hint="eastAsia" w:ascii="仿宋_GB2312" w:eastAsia="仿宋_GB2312"/>
          <w:sz w:val="28"/>
          <w:szCs w:val="28"/>
        </w:rPr>
        <w:t>附件二：</w:t>
      </w:r>
    </w:p>
    <w:p>
      <w:pPr>
        <w:spacing w:line="360" w:lineRule="auto"/>
        <w:jc w:val="center"/>
        <w:rPr>
          <w:rFonts w:hint="eastAsia" w:ascii="仿宋_GB2312" w:hAnsi="黑体" w:eastAsia="仿宋_GB2312"/>
          <w:b/>
          <w:sz w:val="28"/>
          <w:szCs w:val="28"/>
        </w:rPr>
      </w:pPr>
      <w:bookmarkStart w:id="0" w:name="_GoBack"/>
      <w:r>
        <w:rPr>
          <w:rFonts w:hint="eastAsia" w:ascii="仿宋_GB2312" w:hAnsi="黑体" w:eastAsia="仿宋_GB2312"/>
          <w:b/>
          <w:sz w:val="28"/>
          <w:szCs w:val="28"/>
        </w:rPr>
        <w:t>《2016-2017学年学院本科教学质量报告》数据统计表</w:t>
      </w:r>
    </w:p>
    <w:bookmarkEnd w:id="0"/>
    <w:tbl>
      <w:tblPr>
        <w:tblStyle w:val="3"/>
        <w:tblpPr w:leftFromText="180" w:rightFromText="180" w:vertAnchor="page" w:horzAnchor="margin" w:tblpY="3181"/>
        <w:tblW w:w="8812" w:type="dxa"/>
        <w:tblInd w:w="0" w:type="dxa"/>
        <w:tblLayout w:type="fixed"/>
        <w:tblCellMar>
          <w:top w:w="0" w:type="dxa"/>
          <w:left w:w="108" w:type="dxa"/>
          <w:bottom w:w="0" w:type="dxa"/>
          <w:right w:w="108" w:type="dxa"/>
        </w:tblCellMar>
      </w:tblPr>
      <w:tblGrid>
        <w:gridCol w:w="1200"/>
        <w:gridCol w:w="1035"/>
        <w:gridCol w:w="1867"/>
        <w:gridCol w:w="1993"/>
        <w:gridCol w:w="1132"/>
        <w:gridCol w:w="1585"/>
      </w:tblGrid>
      <w:tr>
        <w:tblPrEx>
          <w:tblLayout w:type="fixed"/>
          <w:tblCellMar>
            <w:top w:w="0" w:type="dxa"/>
            <w:left w:w="108" w:type="dxa"/>
            <w:bottom w:w="0" w:type="dxa"/>
            <w:right w:w="108" w:type="dxa"/>
          </w:tblCellMar>
        </w:tblPrEx>
        <w:trPr>
          <w:trHeight w:val="453" w:hRule="atLeast"/>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学习形式</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人数</w:t>
            </w:r>
          </w:p>
        </w:tc>
        <w:tc>
          <w:tcPr>
            <w:tcW w:w="186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学生类别</w:t>
            </w:r>
          </w:p>
        </w:tc>
        <w:tc>
          <w:tcPr>
            <w:tcW w:w="1993"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层次</w:t>
            </w:r>
          </w:p>
        </w:tc>
        <w:tc>
          <w:tcPr>
            <w:tcW w:w="113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人数</w:t>
            </w:r>
          </w:p>
        </w:tc>
        <w:tc>
          <w:tcPr>
            <w:tcW w:w="158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折合在校生数</w:t>
            </w:r>
          </w:p>
        </w:tc>
      </w:tr>
      <w:tr>
        <w:tblPrEx>
          <w:tblLayout w:type="fixed"/>
          <w:tblCellMar>
            <w:top w:w="0" w:type="dxa"/>
            <w:left w:w="108" w:type="dxa"/>
            <w:bottom w:w="0" w:type="dxa"/>
            <w:right w:w="108" w:type="dxa"/>
          </w:tblCellMar>
        </w:tblPrEx>
        <w:trPr>
          <w:trHeight w:val="453" w:hRule="atLeast"/>
        </w:trPr>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全日制在校生</w:t>
            </w:r>
          </w:p>
        </w:tc>
        <w:tc>
          <w:tcPr>
            <w:tcW w:w="1035" w:type="dxa"/>
            <w:vMerge w:val="restart"/>
            <w:tcBorders>
              <w:top w:val="nil"/>
              <w:left w:val="single" w:color="auto" w:sz="4" w:space="0"/>
              <w:bottom w:val="single" w:color="auto" w:sz="4" w:space="0"/>
              <w:right w:val="single" w:color="auto" w:sz="4" w:space="0"/>
            </w:tcBorders>
            <w:shd w:val="clear" w:color="auto" w:fill="auto"/>
            <w:vAlign w:val="center"/>
          </w:tcPr>
          <w:p>
            <w:pPr>
              <w:spacing w:line="276" w:lineRule="auto"/>
              <w:rPr>
                <w:rFonts w:hint="eastAsia" w:ascii="仿宋_GB2312" w:hAnsi="华文细黑" w:eastAsia="仿宋_GB2312" w:cs="宋体"/>
                <w:bCs/>
                <w:color w:val="000000"/>
              </w:rPr>
            </w:pPr>
          </w:p>
          <w:p>
            <w:pPr>
              <w:jc w:val="center"/>
              <w:rPr>
                <w:rFonts w:hint="eastAsia" w:ascii="仿宋_GB2312" w:hAnsi="华文细黑" w:eastAsia="仿宋_GB2312" w:cs="宋体"/>
                <w:bCs/>
                <w:color w:val="000000"/>
              </w:rPr>
            </w:pPr>
          </w:p>
        </w:tc>
        <w:tc>
          <w:tcPr>
            <w:tcW w:w="18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rPr>
            </w:pPr>
            <w:r>
              <w:rPr>
                <w:rFonts w:hint="eastAsia" w:ascii="仿宋_GB2312" w:hAnsi="华文细黑" w:eastAsia="仿宋_GB2312" w:cs="宋体"/>
              </w:rPr>
              <w:t>普通</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restart"/>
            <w:tcBorders>
              <w:top w:val="nil"/>
              <w:left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vMerge w:val="restart"/>
            <w:tcBorders>
              <w:top w:val="nil"/>
              <w:left w:val="nil"/>
              <w:right w:val="single" w:color="auto" w:sz="4" w:space="0"/>
            </w:tcBorders>
            <w:shd w:val="clear" w:color="auto" w:fill="auto"/>
            <w:vAlign w:val="center"/>
          </w:tcPr>
          <w:p>
            <w:pPr>
              <w:jc w:val="center"/>
              <w:rPr>
                <w:rFonts w:hint="eastAsia" w:ascii="仿宋_GB2312" w:hAnsi="华文细黑" w:eastAsia="仿宋_GB2312" w:cs="宋体"/>
              </w:rPr>
            </w:pPr>
            <w:r>
              <w:rPr>
                <w:rFonts w:hint="eastAsia" w:ascii="仿宋_GB2312" w:hAnsi="华文细黑" w:eastAsia="仿宋_GB2312" w:cs="宋体"/>
              </w:rPr>
              <w:t>研究生</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硕士研究生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vMerge w:val="continue"/>
            <w:tcBorders>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博士研究生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vMerge w:val="restart"/>
            <w:tcBorders>
              <w:top w:val="nil"/>
              <w:left w:val="nil"/>
              <w:right w:val="single" w:color="auto" w:sz="4" w:space="0"/>
            </w:tcBorders>
            <w:shd w:val="clear" w:color="auto" w:fill="auto"/>
            <w:vAlign w:val="center"/>
          </w:tcPr>
          <w:p>
            <w:pPr>
              <w:jc w:val="center"/>
              <w:rPr>
                <w:rFonts w:hint="eastAsia" w:ascii="仿宋_GB2312" w:hAnsi="华文细黑" w:eastAsia="仿宋_GB2312" w:cs="宋体"/>
              </w:rPr>
            </w:pPr>
            <w:r>
              <w:rPr>
                <w:rFonts w:hint="eastAsia" w:ascii="仿宋_GB2312" w:hAnsi="华文细黑" w:eastAsia="仿宋_GB2312" w:cs="宋体"/>
              </w:rPr>
              <w:t>留学生</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vMerge w:val="continue"/>
            <w:tcBorders>
              <w:left w:val="nil"/>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硕士研究生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vMerge w:val="continue"/>
            <w:tcBorders>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博士研究生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成人脱产班</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预科生</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8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进修生</w:t>
            </w:r>
          </w:p>
        </w:tc>
        <w:tc>
          <w:tcPr>
            <w:tcW w:w="199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非全日制学生</w:t>
            </w:r>
          </w:p>
        </w:tc>
        <w:tc>
          <w:tcPr>
            <w:tcW w:w="1035"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3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夜大（业余）学生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1035"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38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函授生</w:t>
            </w:r>
          </w:p>
        </w:tc>
        <w:tc>
          <w:tcPr>
            <w:tcW w:w="113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585" w:type="dxa"/>
            <w:vMerge w:val="continue"/>
            <w:tcBorders>
              <w:left w:val="single" w:color="auto" w:sz="4" w:space="0"/>
              <w:bottom w:val="single" w:color="auto" w:sz="4" w:space="0"/>
              <w:right w:val="single" w:color="auto" w:sz="4" w:space="0"/>
            </w:tcBorders>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3" w:hRule="atLeast"/>
        </w:trPr>
        <w:tc>
          <w:tcPr>
            <w:tcW w:w="60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本科生占全日制在校生总数的比例</w:t>
            </w:r>
          </w:p>
        </w:tc>
        <w:tc>
          <w:tcPr>
            <w:tcW w:w="2717"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表1：学生情况</w:t>
      </w:r>
    </w:p>
    <w:tbl>
      <w:tblPr>
        <w:tblStyle w:val="3"/>
        <w:tblW w:w="8804" w:type="dxa"/>
        <w:tblInd w:w="93" w:type="dxa"/>
        <w:tblLayout w:type="fixed"/>
        <w:tblCellMar>
          <w:top w:w="0" w:type="dxa"/>
          <w:left w:w="108" w:type="dxa"/>
          <w:bottom w:w="0" w:type="dxa"/>
          <w:right w:w="108" w:type="dxa"/>
        </w:tblCellMar>
      </w:tblPr>
      <w:tblGrid>
        <w:gridCol w:w="724"/>
        <w:gridCol w:w="3260"/>
        <w:gridCol w:w="1701"/>
        <w:gridCol w:w="1701"/>
        <w:gridCol w:w="1418"/>
      </w:tblGrid>
      <w:tr>
        <w:tblPrEx>
          <w:tblLayout w:type="fixed"/>
          <w:tblCellMar>
            <w:top w:w="0" w:type="dxa"/>
            <w:left w:w="108" w:type="dxa"/>
            <w:bottom w:w="0" w:type="dxa"/>
            <w:right w:w="108" w:type="dxa"/>
          </w:tblCellMar>
        </w:tblPrEx>
        <w:trPr>
          <w:trHeight w:val="454" w:hRule="atLeast"/>
        </w:trPr>
        <w:tc>
          <w:tcPr>
            <w:tcW w:w="8804" w:type="dxa"/>
            <w:gridSpan w:val="5"/>
            <w:tcBorders>
              <w:top w:val="nil"/>
              <w:left w:val="nil"/>
              <w:bottom w:val="single" w:color="auto" w:sz="4" w:space="0"/>
              <w:right w:val="nil"/>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315" w:firstLineChars="150"/>
              <w:rPr>
                <w:rFonts w:hint="eastAsia" w:ascii="仿宋_GB2312" w:hAnsi="华文细黑" w:eastAsia="仿宋_GB2312" w:cs="宋体"/>
                <w:color w:val="000000"/>
              </w:rPr>
            </w:pPr>
            <w:r>
              <w:rPr>
                <w:rFonts w:hint="eastAsia" w:ascii="仿宋_GB2312" w:hAnsi="华文细黑" w:eastAsia="仿宋_GB2312" w:cs="宋体"/>
                <w:color w:val="000000"/>
              </w:rPr>
              <w:t xml:space="preserve"> 1. 折合在校生数＝普通本、专科（高职）生数＋硕士生数×1.5×博士生数×2＋留学生数×3＋预科生数＋进修生数＋成人脱产班学生数＋夜大（业余）学生数×0.3＋函授生数×0.1；</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2.全日制在校生数＝普通本、专科（高职）生数＋研究生数＋留学生数＋预科生数＋成人脱产班学生数＋进修生数</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3.进修生数指进修及培训时间在一年以上的学生数。</w:t>
            </w:r>
          </w:p>
          <w:p>
            <w:pPr>
              <w:autoSpaceDE w:val="0"/>
              <w:autoSpaceDN w:val="0"/>
              <w:rPr>
                <w:rFonts w:hint="eastAsia" w:ascii="仿宋_GB2312" w:hAnsi="华文细黑" w:eastAsia="仿宋_GB2312" w:cs="宋体"/>
                <w:lang w:val="zh-CN"/>
              </w:rPr>
            </w:pPr>
          </w:p>
          <w:p>
            <w:pPr>
              <w:rPr>
                <w:rFonts w:hint="eastAsia" w:ascii="仿宋_GB2312" w:hAnsi="华文细黑" w:eastAsia="仿宋_GB2312" w:cs="宋体"/>
                <w:color w:val="000000"/>
              </w:rPr>
            </w:pPr>
            <w:r>
              <w:rPr>
                <w:rFonts w:hint="eastAsia" w:ascii="仿宋_GB2312" w:hAnsi="华文细黑" w:eastAsia="仿宋_GB2312" w:cs="宋体"/>
                <w:color w:val="000000"/>
              </w:rPr>
              <w:t>表2：各专业学生情况</w:t>
            </w:r>
          </w:p>
        </w:tc>
      </w:tr>
      <w:tr>
        <w:tblPrEx>
          <w:tblLayout w:type="fixed"/>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序号</w:t>
            </w:r>
          </w:p>
        </w:tc>
        <w:tc>
          <w:tcPr>
            <w:tcW w:w="326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专业名称</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专业设置时间</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当年招生人数</w:t>
            </w:r>
          </w:p>
        </w:tc>
        <w:tc>
          <w:tcPr>
            <w:tcW w:w="141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学生总人数</w:t>
            </w:r>
          </w:p>
        </w:tc>
      </w:tr>
      <w:tr>
        <w:tblPrEx>
          <w:tblLayout w:type="fixed"/>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1</w:t>
            </w:r>
          </w:p>
        </w:tc>
        <w:tc>
          <w:tcPr>
            <w:tcW w:w="326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41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2</w:t>
            </w:r>
          </w:p>
        </w:tc>
        <w:tc>
          <w:tcPr>
            <w:tcW w:w="326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141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p>
    <w:p>
      <w:pPr>
        <w:rPr>
          <w:rFonts w:hint="eastAsia" w:ascii="仿宋_GB2312" w:hAnsi="华文细黑" w:eastAsia="仿宋_GB2312"/>
        </w:rPr>
      </w:pPr>
      <w:r>
        <w:rPr>
          <w:rFonts w:hint="eastAsia" w:ascii="仿宋_GB2312" w:hAnsi="华文细黑" w:eastAsia="仿宋_GB2312"/>
        </w:rPr>
        <w:t>表3：教师的数量与结构</w:t>
      </w:r>
    </w:p>
    <w:tbl>
      <w:tblPr>
        <w:tblStyle w:val="3"/>
        <w:tblW w:w="8852" w:type="dxa"/>
        <w:tblInd w:w="93" w:type="dxa"/>
        <w:tblLayout w:type="fixed"/>
        <w:tblCellMar>
          <w:top w:w="0" w:type="dxa"/>
          <w:left w:w="108" w:type="dxa"/>
          <w:bottom w:w="0" w:type="dxa"/>
          <w:right w:w="108" w:type="dxa"/>
        </w:tblCellMar>
      </w:tblPr>
      <w:tblGrid>
        <w:gridCol w:w="1006"/>
        <w:gridCol w:w="634"/>
        <w:gridCol w:w="647"/>
        <w:gridCol w:w="437"/>
        <w:gridCol w:w="558"/>
        <w:gridCol w:w="568"/>
        <w:gridCol w:w="709"/>
        <w:gridCol w:w="710"/>
        <w:gridCol w:w="767"/>
        <w:gridCol w:w="795"/>
        <w:gridCol w:w="710"/>
        <w:gridCol w:w="437"/>
        <w:gridCol w:w="437"/>
        <w:gridCol w:w="437"/>
      </w:tblGrid>
      <w:tr>
        <w:tblPrEx>
          <w:tblLayout w:type="fixed"/>
          <w:tblCellMar>
            <w:top w:w="0" w:type="dxa"/>
            <w:left w:w="108" w:type="dxa"/>
            <w:bottom w:w="0" w:type="dxa"/>
            <w:right w:w="108" w:type="dxa"/>
          </w:tblCellMar>
        </w:tblPrEx>
        <w:trPr>
          <w:trHeight w:val="454" w:hRule="atLeast"/>
        </w:trPr>
        <w:tc>
          <w:tcPr>
            <w:tcW w:w="10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项目</w:t>
            </w:r>
          </w:p>
        </w:tc>
        <w:tc>
          <w:tcPr>
            <w:tcW w:w="1718"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职称</w:t>
            </w:r>
          </w:p>
        </w:tc>
        <w:tc>
          <w:tcPr>
            <w:tcW w:w="1835"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学位</w:t>
            </w:r>
          </w:p>
        </w:tc>
        <w:tc>
          <w:tcPr>
            <w:tcW w:w="2982" w:type="dxa"/>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年龄</w:t>
            </w:r>
          </w:p>
        </w:tc>
        <w:tc>
          <w:tcPr>
            <w:tcW w:w="1311"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学缘</w:t>
            </w:r>
          </w:p>
        </w:tc>
      </w:tr>
      <w:tr>
        <w:tblPrEx>
          <w:tblLayout w:type="fixed"/>
          <w:tblCellMar>
            <w:top w:w="0" w:type="dxa"/>
            <w:left w:w="108" w:type="dxa"/>
            <w:bottom w:w="0" w:type="dxa"/>
            <w:right w:w="108" w:type="dxa"/>
          </w:tblCellMar>
        </w:tblPrEx>
        <w:trPr>
          <w:trHeight w:val="454" w:hRule="atLeast"/>
        </w:trPr>
        <w:tc>
          <w:tcPr>
            <w:tcW w:w="1006"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634"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教授</w:t>
            </w:r>
          </w:p>
        </w:tc>
        <w:tc>
          <w:tcPr>
            <w:tcW w:w="647"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副教授</w:t>
            </w:r>
          </w:p>
        </w:tc>
        <w:tc>
          <w:tcPr>
            <w:tcW w:w="437"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其他</w:t>
            </w:r>
          </w:p>
        </w:tc>
        <w:tc>
          <w:tcPr>
            <w:tcW w:w="558"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博士</w:t>
            </w:r>
          </w:p>
        </w:tc>
        <w:tc>
          <w:tcPr>
            <w:tcW w:w="568"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硕士</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其他</w:t>
            </w:r>
          </w:p>
        </w:tc>
        <w:tc>
          <w:tcPr>
            <w:tcW w:w="710"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35岁及以下</w:t>
            </w:r>
          </w:p>
        </w:tc>
        <w:tc>
          <w:tcPr>
            <w:tcW w:w="767"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36-45</w:t>
            </w:r>
          </w:p>
        </w:tc>
        <w:tc>
          <w:tcPr>
            <w:tcW w:w="795"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46-55</w:t>
            </w:r>
          </w:p>
        </w:tc>
        <w:tc>
          <w:tcPr>
            <w:tcW w:w="710"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56岁及以上</w:t>
            </w:r>
          </w:p>
        </w:tc>
        <w:tc>
          <w:tcPr>
            <w:tcW w:w="437"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本校</w:t>
            </w:r>
          </w:p>
        </w:tc>
        <w:tc>
          <w:tcPr>
            <w:tcW w:w="874" w:type="dxa"/>
            <w:gridSpan w:val="2"/>
            <w:tcBorders>
              <w:top w:val="single" w:color="auto" w:sz="4" w:space="0"/>
              <w:left w:val="nil"/>
              <w:bottom w:val="single" w:color="auto" w:sz="4" w:space="0"/>
              <w:right w:val="single" w:color="000000"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外校</w:t>
            </w:r>
          </w:p>
        </w:tc>
      </w:tr>
      <w:tr>
        <w:tblPrEx>
          <w:tblLayout w:type="fixed"/>
          <w:tblCellMar>
            <w:top w:w="0" w:type="dxa"/>
            <w:left w:w="108" w:type="dxa"/>
            <w:bottom w:w="0" w:type="dxa"/>
            <w:right w:w="108" w:type="dxa"/>
          </w:tblCellMar>
        </w:tblPrEx>
        <w:trPr>
          <w:trHeight w:val="454" w:hRule="atLeast"/>
        </w:trPr>
        <w:tc>
          <w:tcPr>
            <w:tcW w:w="1006"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p>
        </w:tc>
        <w:tc>
          <w:tcPr>
            <w:tcW w:w="634"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647"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58"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68"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09"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67"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95"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境内</w:t>
            </w: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境外</w:t>
            </w:r>
          </w:p>
        </w:tc>
      </w:tr>
      <w:tr>
        <w:tblPrEx>
          <w:tblLayout w:type="fixed"/>
          <w:tblCellMar>
            <w:top w:w="0" w:type="dxa"/>
            <w:left w:w="108" w:type="dxa"/>
            <w:bottom w:w="0" w:type="dxa"/>
            <w:right w:w="108" w:type="dxa"/>
          </w:tblCellMar>
        </w:tblPrEx>
        <w:trPr>
          <w:trHeight w:val="454" w:hRule="atLeast"/>
        </w:trPr>
        <w:tc>
          <w:tcPr>
            <w:tcW w:w="1006" w:type="dxa"/>
            <w:tcBorders>
              <w:top w:val="nil"/>
              <w:left w:val="single" w:color="auto" w:sz="4" w:space="0"/>
              <w:bottom w:val="nil"/>
              <w:right w:val="nil"/>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人数</w:t>
            </w:r>
          </w:p>
        </w:tc>
        <w:tc>
          <w:tcPr>
            <w:tcW w:w="63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64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5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6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9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r>
        <w:tblPrEx>
          <w:tblLayout w:type="fixed"/>
          <w:tblCellMar>
            <w:top w:w="0" w:type="dxa"/>
            <w:left w:w="108" w:type="dxa"/>
            <w:bottom w:w="0" w:type="dxa"/>
            <w:right w:w="108" w:type="dxa"/>
          </w:tblCellMar>
        </w:tblPrEx>
        <w:trPr>
          <w:trHeight w:val="454" w:hRule="atLeast"/>
        </w:trPr>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bCs/>
                <w:color w:val="000000"/>
              </w:rPr>
            </w:pPr>
            <w:r>
              <w:rPr>
                <w:rFonts w:hint="eastAsia" w:ascii="仿宋_GB2312" w:hAnsi="华文细黑" w:eastAsia="仿宋_GB2312" w:cs="宋体"/>
                <w:bCs/>
                <w:color w:val="000000"/>
              </w:rPr>
              <w:t>比例</w:t>
            </w:r>
          </w:p>
        </w:tc>
        <w:tc>
          <w:tcPr>
            <w:tcW w:w="634"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64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5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56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9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7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p>
        </w:tc>
      </w:tr>
    </w:tbl>
    <w:p>
      <w:pPr>
        <w:autoSpaceDE w:val="0"/>
        <w:autoSpaceDN w:val="0"/>
        <w:rPr>
          <w:rFonts w:hint="eastAsia" w:ascii="仿宋_GB2312" w:hAnsi="华文细黑" w:eastAsia="仿宋_GB2312"/>
        </w:rPr>
      </w:pPr>
      <w:r>
        <w:rPr>
          <w:rFonts w:hint="eastAsia" w:ascii="仿宋_GB2312" w:hAnsi="华文细黑" w:eastAsia="仿宋_GB2312" w:cs="宋体"/>
          <w:color w:val="000000"/>
        </w:rPr>
        <w:t>备注</w:t>
      </w:r>
      <w:r>
        <w:rPr>
          <w:rFonts w:hint="eastAsia" w:ascii="仿宋_GB2312" w:hAnsi="华文细黑" w:eastAsia="仿宋_GB2312"/>
        </w:rPr>
        <w:t>：</w:t>
      </w:r>
    </w:p>
    <w:p>
      <w:pPr>
        <w:autoSpaceDE w:val="0"/>
        <w:autoSpaceDN w:val="0"/>
        <w:ind w:firstLine="420" w:firstLineChars="200"/>
        <w:rPr>
          <w:rFonts w:hint="eastAsia" w:ascii="仿宋_GB2312" w:hAnsi="华文细黑" w:eastAsia="仿宋_GB2312"/>
        </w:rPr>
      </w:pPr>
      <w:r>
        <w:rPr>
          <w:rFonts w:hint="eastAsia" w:ascii="仿宋_GB2312" w:hAnsi="华文细黑" w:eastAsia="仿宋_GB2312"/>
        </w:rPr>
        <w:t>1.比例是指占专任教师数的比例，如具有研究生学位教师占专任教师的比例＝具有研究生学位专任教师数/专任教师数</w:t>
      </w:r>
    </w:p>
    <w:p>
      <w:pPr>
        <w:rPr>
          <w:rFonts w:hint="eastAsia" w:ascii="仿宋_GB2312" w:hAnsi="华文细黑" w:eastAsia="仿宋_GB2312"/>
        </w:rPr>
      </w:pPr>
      <w:r>
        <w:rPr>
          <w:rFonts w:hint="eastAsia" w:ascii="仿宋_GB2312" w:hAnsi="华文细黑" w:eastAsia="仿宋_GB2312"/>
        </w:rPr>
        <w:t xml:space="preserve">    2.专任教师指具有教师资格，专职从事教学工作的、只属于教学单位的人员。</w:t>
      </w:r>
    </w:p>
    <w:p>
      <w:pPr>
        <w:rPr>
          <w:rFonts w:hint="eastAsia" w:ascii="仿宋_GB2312" w:hAnsi="华文细黑" w:eastAsia="仿宋_GB2312"/>
        </w:rPr>
      </w:pPr>
    </w:p>
    <w:p>
      <w:pPr>
        <w:rPr>
          <w:rFonts w:hint="eastAsia" w:ascii="仿宋_GB2312" w:hAnsi="华文细黑" w:eastAsia="仿宋_GB2312"/>
        </w:rPr>
      </w:pPr>
      <w:r>
        <w:rPr>
          <w:rFonts w:hint="eastAsia" w:ascii="仿宋_GB2312" w:hAnsi="华文细黑" w:eastAsia="仿宋_GB2312"/>
        </w:rPr>
        <w:t>表4：教学管理人员情况</w:t>
      </w:r>
    </w:p>
    <w:tbl>
      <w:tblPr>
        <w:tblStyle w:val="3"/>
        <w:tblW w:w="8964" w:type="dxa"/>
        <w:tblInd w:w="93" w:type="dxa"/>
        <w:tblLayout w:type="fixed"/>
        <w:tblCellMar>
          <w:top w:w="0" w:type="dxa"/>
          <w:left w:w="108" w:type="dxa"/>
          <w:bottom w:w="0" w:type="dxa"/>
          <w:right w:w="108" w:type="dxa"/>
        </w:tblCellMar>
      </w:tblPr>
      <w:tblGrid>
        <w:gridCol w:w="2195"/>
        <w:gridCol w:w="2708"/>
        <w:gridCol w:w="4061"/>
      </w:tblGrid>
      <w:tr>
        <w:tblPrEx>
          <w:tblLayout w:type="fixed"/>
          <w:tblCellMar>
            <w:top w:w="0" w:type="dxa"/>
            <w:left w:w="108" w:type="dxa"/>
            <w:bottom w:w="0" w:type="dxa"/>
            <w:right w:w="108" w:type="dxa"/>
          </w:tblCellMar>
        </w:tblPrEx>
        <w:trPr>
          <w:trHeight w:val="476"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rPr>
              <w:t>教学管理人员人数</w:t>
            </w:r>
          </w:p>
        </w:tc>
        <w:tc>
          <w:tcPr>
            <w:tcW w:w="270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本科生数</w:t>
            </w:r>
          </w:p>
        </w:tc>
        <w:tc>
          <w:tcPr>
            <w:tcW w:w="406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rPr>
              <w:t>教学管理人员与本科生之比</w:t>
            </w:r>
          </w:p>
        </w:tc>
      </w:tr>
      <w:tr>
        <w:tblPrEx>
          <w:tblLayout w:type="fixed"/>
          <w:tblCellMar>
            <w:top w:w="0" w:type="dxa"/>
            <w:left w:w="108" w:type="dxa"/>
            <w:bottom w:w="0" w:type="dxa"/>
            <w:right w:w="108" w:type="dxa"/>
          </w:tblCellMar>
        </w:tblPrEx>
        <w:trPr>
          <w:trHeight w:val="476"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p>
        </w:tc>
        <w:tc>
          <w:tcPr>
            <w:tcW w:w="2708"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　</w:t>
            </w:r>
          </w:p>
        </w:tc>
        <w:tc>
          <w:tcPr>
            <w:tcW w:w="4061"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　</w:t>
            </w:r>
          </w:p>
        </w:tc>
      </w:tr>
    </w:tbl>
    <w:p>
      <w:pPr>
        <w:rPr>
          <w:rFonts w:hint="eastAsia" w:ascii="仿宋_GB2312" w:hAnsi="华文细黑" w:eastAsia="仿宋_GB2312"/>
        </w:rPr>
      </w:pPr>
      <w:r>
        <w:rPr>
          <w:rFonts w:hint="eastAsia" w:ascii="仿宋_GB2312" w:hAnsi="华文细黑" w:eastAsia="仿宋_GB2312" w:cs="宋体"/>
          <w:color w:val="000000"/>
        </w:rPr>
        <w:t>备注</w:t>
      </w:r>
      <w:r>
        <w:rPr>
          <w:rFonts w:hint="eastAsia" w:ascii="仿宋_GB2312" w:hAnsi="华文细黑" w:eastAsia="仿宋_GB2312"/>
        </w:rPr>
        <w:t>：</w:t>
      </w:r>
    </w:p>
    <w:p>
      <w:pPr>
        <w:ind w:firstLine="420" w:firstLineChars="200"/>
        <w:rPr>
          <w:rFonts w:hint="eastAsia" w:ascii="仿宋_GB2312" w:hAnsi="华文细黑" w:eastAsia="仿宋_GB2312"/>
        </w:rPr>
      </w:pPr>
      <w:r>
        <w:rPr>
          <w:rFonts w:hint="eastAsia" w:ascii="仿宋_GB2312" w:hAnsi="华文细黑" w:eastAsia="仿宋_GB2312"/>
        </w:rPr>
        <w:t xml:space="preserve"> 1.教学管理人员是指学院分管教学的领导、教学秘书和教务员。</w:t>
      </w:r>
    </w:p>
    <w:p>
      <w:pPr>
        <w:rPr>
          <w:rFonts w:hint="eastAsia" w:ascii="仿宋_GB2312" w:hAnsi="华文细黑" w:eastAsia="仿宋_GB2312"/>
        </w:rPr>
      </w:pPr>
    </w:p>
    <w:p>
      <w:pPr>
        <w:rPr>
          <w:rFonts w:hint="eastAsia" w:ascii="仿宋_GB2312" w:hAnsi="华文细黑" w:eastAsia="仿宋_GB2312"/>
        </w:rPr>
      </w:pPr>
      <w:r>
        <w:rPr>
          <w:rFonts w:hint="eastAsia" w:ascii="仿宋_GB2312" w:hAnsi="华文细黑" w:eastAsia="仿宋_GB2312"/>
        </w:rPr>
        <w:t>表5：生师比</w:t>
      </w:r>
    </w:p>
    <w:tbl>
      <w:tblPr>
        <w:tblStyle w:val="3"/>
        <w:tblW w:w="8804" w:type="dxa"/>
        <w:tblInd w:w="93" w:type="dxa"/>
        <w:tblLayout w:type="fixed"/>
        <w:tblCellMar>
          <w:top w:w="0" w:type="dxa"/>
          <w:left w:w="108" w:type="dxa"/>
          <w:bottom w:w="0" w:type="dxa"/>
          <w:right w:w="108" w:type="dxa"/>
        </w:tblCellMar>
      </w:tblPr>
      <w:tblGrid>
        <w:gridCol w:w="1149"/>
        <w:gridCol w:w="1418"/>
        <w:gridCol w:w="2268"/>
        <w:gridCol w:w="1559"/>
        <w:gridCol w:w="1418"/>
        <w:gridCol w:w="992"/>
      </w:tblGrid>
      <w:tr>
        <w:tblPrEx>
          <w:tblLayout w:type="fixed"/>
          <w:tblCellMar>
            <w:top w:w="0" w:type="dxa"/>
            <w:left w:w="108" w:type="dxa"/>
            <w:bottom w:w="0" w:type="dxa"/>
            <w:right w:w="108" w:type="dxa"/>
          </w:tblCellMar>
        </w:tblPrEx>
        <w:trPr>
          <w:trHeight w:val="454"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本科生数</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专任教师数</w:t>
            </w:r>
          </w:p>
        </w:tc>
        <w:tc>
          <w:tcPr>
            <w:tcW w:w="226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本科生与专任教师比</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折合在校生数</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教师总数</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生师比</w:t>
            </w:r>
          </w:p>
        </w:tc>
      </w:tr>
      <w:tr>
        <w:tblPrEx>
          <w:tblLayout w:type="fixed"/>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p>
        </w:tc>
        <w:tc>
          <w:tcPr>
            <w:tcW w:w="1418"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　</w:t>
            </w:r>
          </w:p>
        </w:tc>
        <w:tc>
          <w:tcPr>
            <w:tcW w:w="2268"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　</w:t>
            </w:r>
          </w:p>
        </w:tc>
        <w:tc>
          <w:tcPr>
            <w:tcW w:w="1559"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r>
              <w:rPr>
                <w:rFonts w:hint="eastAsia" w:ascii="仿宋_GB2312" w:hAnsi="华文细黑" w:eastAsia="仿宋_GB2312" w:cs="宋体"/>
                <w:color w:val="000000"/>
              </w:rPr>
              <w:t>　</w:t>
            </w:r>
          </w:p>
        </w:tc>
        <w:tc>
          <w:tcPr>
            <w:tcW w:w="1418"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p>
        </w:tc>
        <w:tc>
          <w:tcPr>
            <w:tcW w:w="992" w:type="dxa"/>
            <w:tcBorders>
              <w:top w:val="nil"/>
              <w:left w:val="nil"/>
              <w:bottom w:val="single" w:color="auto" w:sz="4" w:space="0"/>
              <w:right w:val="single" w:color="auto" w:sz="4" w:space="0"/>
            </w:tcBorders>
            <w:shd w:val="clear" w:color="auto" w:fill="auto"/>
            <w:vAlign w:val="center"/>
          </w:tcPr>
          <w:p>
            <w:pP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1.教师总数＝专任教师数＋聘请校外教师数（聘期为一年以上）×0.5；</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2.生师比＝折合在校生数/教师总数。</w:t>
      </w:r>
    </w:p>
    <w:p>
      <w:pPr>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表6：教学条件</w:t>
      </w:r>
    </w:p>
    <w:tbl>
      <w:tblPr>
        <w:tblStyle w:val="3"/>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0"/>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项目</w:t>
            </w:r>
          </w:p>
        </w:tc>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教学仪器设备总值</w:t>
            </w:r>
          </w:p>
        </w:tc>
        <w:tc>
          <w:tcPr>
            <w:tcW w:w="4490"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当年新增教学仪器设备总值</w:t>
            </w:r>
          </w:p>
        </w:tc>
        <w:tc>
          <w:tcPr>
            <w:tcW w:w="4490"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教学行政用房总面积/生均教学行政用房</w:t>
            </w:r>
          </w:p>
        </w:tc>
        <w:tc>
          <w:tcPr>
            <w:tcW w:w="4490"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实验室总面积/生均实验室面积</w:t>
            </w:r>
          </w:p>
        </w:tc>
        <w:tc>
          <w:tcPr>
            <w:tcW w:w="4490"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9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实习、实训基地数</w:t>
            </w:r>
          </w:p>
        </w:tc>
        <w:tc>
          <w:tcPr>
            <w:tcW w:w="4490"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autoSpaceDE w:val="0"/>
        <w:autoSpaceDN w:val="0"/>
        <w:ind w:firstLine="420" w:firstLineChars="200"/>
        <w:rPr>
          <w:rFonts w:hint="eastAsia" w:ascii="仿宋_GB2312" w:hAnsi="华文细黑" w:eastAsia="仿宋_GB2312" w:cs="宋体"/>
          <w:lang w:val="zh-CN"/>
        </w:rPr>
      </w:pPr>
      <w:r>
        <w:rPr>
          <w:rFonts w:hint="eastAsia" w:ascii="仿宋_GB2312" w:hAnsi="华文细黑" w:eastAsia="仿宋_GB2312" w:cs="宋体"/>
        </w:rPr>
        <w:t>1.</w:t>
      </w:r>
      <w:r>
        <w:rPr>
          <w:rFonts w:hint="eastAsia" w:ascii="仿宋_GB2312" w:hAnsi="华文细黑" w:eastAsia="仿宋_GB2312" w:cs="宋体"/>
          <w:lang w:val="zh-CN"/>
        </w:rPr>
        <w:t>生均教学行政用房＝（教学及辅助用房面积＋行政办公用房面积）/全日制在校生数</w:t>
      </w:r>
    </w:p>
    <w:p>
      <w:pPr>
        <w:autoSpaceDE w:val="0"/>
        <w:autoSpaceDN w:val="0"/>
        <w:ind w:firstLine="315" w:firstLineChars="150"/>
        <w:rPr>
          <w:rFonts w:hint="eastAsia" w:ascii="仿宋_GB2312" w:hAnsi="华文细黑" w:eastAsia="仿宋_GB2312" w:cs="宋体"/>
          <w:lang w:val="zh-CN"/>
        </w:rPr>
      </w:pPr>
      <w:r>
        <w:rPr>
          <w:rFonts w:hint="eastAsia" w:ascii="仿宋_GB2312" w:hAnsi="华文细黑" w:eastAsia="仿宋_GB2312" w:cs="宋体"/>
          <w:lang w:val="zh-CN"/>
        </w:rPr>
        <w:t xml:space="preserve"> 2.生均实验面积=实验总面积/全日制在校生数</w:t>
      </w:r>
    </w:p>
    <w:p>
      <w:pPr>
        <w:autoSpaceDE w:val="0"/>
        <w:autoSpaceDN w:val="0"/>
        <w:rPr>
          <w:rFonts w:hint="eastAsia" w:ascii="仿宋_GB2312" w:hAnsi="华文细黑" w:eastAsia="仿宋_GB2312" w:cs="宋体"/>
          <w:lang w:val="zh-CN"/>
        </w:rPr>
      </w:pPr>
    </w:p>
    <w:p>
      <w:pPr>
        <w:autoSpaceDE w:val="0"/>
        <w:autoSpaceDN w:val="0"/>
        <w:rPr>
          <w:rFonts w:hint="eastAsia" w:ascii="仿宋_GB2312" w:hAnsi="华文细黑" w:eastAsia="仿宋_GB2312" w:cs="宋体"/>
          <w:lang w:val="zh-CN"/>
        </w:rPr>
      </w:pPr>
      <w:r>
        <w:rPr>
          <w:rFonts w:hint="eastAsia" w:ascii="仿宋_GB2312" w:hAnsi="华文细黑" w:eastAsia="仿宋_GB2312" w:cs="宋体"/>
          <w:lang w:val="zh-CN"/>
        </w:rPr>
        <w:t>表7：教学经费</w:t>
      </w:r>
    </w:p>
    <w:p>
      <w:pPr>
        <w:autoSpaceDE w:val="0"/>
        <w:autoSpaceDN w:val="0"/>
        <w:rPr>
          <w:rFonts w:hint="eastAsia" w:ascii="仿宋_GB2312" w:hAnsi="华文细黑" w:eastAsia="仿宋_GB2312" w:cs="宋体"/>
          <w:lang w:val="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1"/>
        <w:gridCol w:w="213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vAlign w:val="center"/>
          </w:tcPr>
          <w:p>
            <w:pPr>
              <w:autoSpaceDE w:val="0"/>
              <w:autoSpaceDN w:val="0"/>
              <w:jc w:val="center"/>
              <w:rPr>
                <w:rFonts w:hint="eastAsia" w:ascii="仿宋_GB2312" w:hAnsi="华文细黑" w:eastAsia="仿宋_GB2312" w:cs="宋体"/>
                <w:lang w:val="zh-CN"/>
              </w:rPr>
            </w:pPr>
            <w:r>
              <w:rPr>
                <w:rFonts w:hint="eastAsia" w:ascii="仿宋_GB2312" w:hAnsi="华文细黑" w:eastAsia="仿宋_GB2312" w:cs="宋体"/>
                <w:lang w:val="zh-CN"/>
              </w:rPr>
              <w:t>生均本科教学日常运行支出</w:t>
            </w:r>
          </w:p>
        </w:tc>
        <w:tc>
          <w:tcPr>
            <w:tcW w:w="2131" w:type="dxa"/>
            <w:vAlign w:val="center"/>
          </w:tcPr>
          <w:p>
            <w:pPr>
              <w:autoSpaceDE w:val="0"/>
              <w:autoSpaceDN w:val="0"/>
              <w:jc w:val="center"/>
              <w:rPr>
                <w:rFonts w:hint="eastAsia" w:ascii="仿宋_GB2312" w:hAnsi="华文细黑" w:eastAsia="仿宋_GB2312" w:cs="宋体"/>
                <w:lang w:val="zh-CN"/>
              </w:rPr>
            </w:pPr>
            <w:r>
              <w:rPr>
                <w:rFonts w:hint="eastAsia" w:ascii="仿宋_GB2312" w:hAnsi="华文细黑" w:eastAsia="仿宋_GB2312" w:cs="宋体"/>
                <w:lang w:val="zh-CN"/>
              </w:rPr>
              <w:t>本科专项教学经费</w:t>
            </w:r>
          </w:p>
        </w:tc>
        <w:tc>
          <w:tcPr>
            <w:tcW w:w="2130" w:type="dxa"/>
            <w:vAlign w:val="center"/>
          </w:tcPr>
          <w:p>
            <w:pPr>
              <w:autoSpaceDE w:val="0"/>
              <w:autoSpaceDN w:val="0"/>
              <w:jc w:val="center"/>
              <w:rPr>
                <w:rFonts w:hint="eastAsia" w:ascii="仿宋_GB2312" w:hAnsi="华文细黑" w:eastAsia="仿宋_GB2312" w:cs="宋体"/>
                <w:lang w:val="zh-CN"/>
              </w:rPr>
            </w:pPr>
            <w:r>
              <w:rPr>
                <w:rFonts w:hint="eastAsia" w:ascii="仿宋_GB2312" w:hAnsi="华文细黑" w:eastAsia="仿宋_GB2312" w:cs="宋体"/>
                <w:lang w:val="zh-CN"/>
              </w:rPr>
              <w:t>生均本科实习经费</w:t>
            </w:r>
          </w:p>
        </w:tc>
        <w:tc>
          <w:tcPr>
            <w:tcW w:w="2131" w:type="dxa"/>
            <w:vAlign w:val="center"/>
          </w:tcPr>
          <w:p>
            <w:pPr>
              <w:autoSpaceDE w:val="0"/>
              <w:autoSpaceDN w:val="0"/>
              <w:jc w:val="center"/>
              <w:rPr>
                <w:rFonts w:hint="eastAsia" w:ascii="仿宋_GB2312" w:hAnsi="华文细黑" w:eastAsia="仿宋_GB2312" w:cs="宋体"/>
                <w:lang w:val="zh-CN"/>
              </w:rPr>
            </w:pPr>
            <w:r>
              <w:rPr>
                <w:rFonts w:hint="eastAsia" w:ascii="仿宋_GB2312" w:hAnsi="华文细黑" w:eastAsia="仿宋_GB2312" w:cs="宋体"/>
                <w:lang w:val="zh-CN"/>
              </w:rPr>
              <w:t>生均本科实验经费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vAlign w:val="center"/>
          </w:tcPr>
          <w:p>
            <w:pPr>
              <w:autoSpaceDE w:val="0"/>
              <w:autoSpaceDN w:val="0"/>
              <w:jc w:val="center"/>
              <w:rPr>
                <w:rFonts w:hint="eastAsia" w:ascii="仿宋_GB2312" w:hAnsi="华文细黑" w:eastAsia="仿宋_GB2312" w:cs="宋体"/>
                <w:lang w:val="zh-CN"/>
              </w:rPr>
            </w:pPr>
          </w:p>
        </w:tc>
        <w:tc>
          <w:tcPr>
            <w:tcW w:w="2131" w:type="dxa"/>
            <w:vAlign w:val="center"/>
          </w:tcPr>
          <w:p>
            <w:pPr>
              <w:autoSpaceDE w:val="0"/>
              <w:autoSpaceDN w:val="0"/>
              <w:jc w:val="center"/>
              <w:rPr>
                <w:rFonts w:hint="eastAsia" w:ascii="仿宋_GB2312" w:hAnsi="华文细黑" w:eastAsia="仿宋_GB2312" w:cs="宋体"/>
                <w:lang w:val="zh-CN"/>
              </w:rPr>
            </w:pPr>
          </w:p>
        </w:tc>
        <w:tc>
          <w:tcPr>
            <w:tcW w:w="2130" w:type="dxa"/>
            <w:vAlign w:val="center"/>
          </w:tcPr>
          <w:p>
            <w:pPr>
              <w:autoSpaceDE w:val="0"/>
              <w:autoSpaceDN w:val="0"/>
              <w:jc w:val="center"/>
              <w:rPr>
                <w:rFonts w:hint="eastAsia" w:ascii="仿宋_GB2312" w:hAnsi="华文细黑" w:eastAsia="仿宋_GB2312" w:cs="宋体"/>
                <w:lang w:val="zh-CN"/>
              </w:rPr>
            </w:pPr>
          </w:p>
        </w:tc>
        <w:tc>
          <w:tcPr>
            <w:tcW w:w="2131" w:type="dxa"/>
            <w:vAlign w:val="center"/>
          </w:tcPr>
          <w:p>
            <w:pPr>
              <w:autoSpaceDE w:val="0"/>
              <w:autoSpaceDN w:val="0"/>
              <w:jc w:val="center"/>
              <w:rPr>
                <w:rFonts w:hint="eastAsia" w:ascii="仿宋_GB2312" w:hAnsi="华文细黑" w:eastAsia="仿宋_GB2312" w:cs="宋体"/>
                <w:lang w:val="zh-CN"/>
              </w:rPr>
            </w:pPr>
          </w:p>
        </w:tc>
      </w:tr>
    </w:tbl>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1.教学日常运行支出是指学校开展普通本专科教学活动及其辅助活动发生的支出，仅指教学基本支出中的商品和服务支出（302类），不包括教学专项拨款支出及教师的工资和课酬，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本科专项教学经费是指自然年度内学院立项用于本科教学改革和建设的专项经费总额，包括教学改革与课程建设、专业建设、教材建设、校内外实践教学、学生活动经费（含学生科技活动、学生文化体育活动和学生社会实践等）等。</w:t>
      </w:r>
    </w:p>
    <w:p>
      <w:pPr>
        <w:autoSpaceDE w:val="0"/>
        <w:autoSpaceDN w:val="0"/>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3.生均本科实习经费是指自然年度内学院用于本科培养方案内的实习环节支出经费生均值；</w:t>
      </w:r>
    </w:p>
    <w:p>
      <w:pPr>
        <w:autoSpaceDE w:val="0"/>
        <w:autoSpaceDN w:val="0"/>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4.生均本科实验经费是指自然年度内学院用于实验教学运行、维护经费生均值。</w:t>
      </w:r>
    </w:p>
    <w:p>
      <w:pPr>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表8：优质课程</w:t>
      </w:r>
    </w:p>
    <w:tbl>
      <w:tblPr>
        <w:tblStyle w:val="3"/>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2410"/>
        <w:gridCol w:w="184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675"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序号</w:t>
            </w:r>
          </w:p>
        </w:tc>
        <w:tc>
          <w:tcPr>
            <w:tcW w:w="241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课程名称</w:t>
            </w:r>
          </w:p>
        </w:tc>
        <w:tc>
          <w:tcPr>
            <w:tcW w:w="241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类别</w:t>
            </w:r>
          </w:p>
        </w:tc>
        <w:tc>
          <w:tcPr>
            <w:tcW w:w="184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级别</w:t>
            </w:r>
          </w:p>
        </w:tc>
        <w:tc>
          <w:tcPr>
            <w:tcW w:w="127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立项时间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675"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1</w:t>
            </w:r>
          </w:p>
        </w:tc>
        <w:tc>
          <w:tcPr>
            <w:tcW w:w="2410" w:type="dxa"/>
            <w:vAlign w:val="center"/>
          </w:tcPr>
          <w:p>
            <w:pPr>
              <w:jc w:val="center"/>
              <w:rPr>
                <w:rFonts w:hint="eastAsia" w:ascii="仿宋_GB2312" w:hAnsi="华文细黑" w:eastAsia="仿宋_GB2312" w:cs="宋体"/>
                <w:color w:val="000000"/>
              </w:rPr>
            </w:pPr>
          </w:p>
        </w:tc>
        <w:tc>
          <w:tcPr>
            <w:tcW w:w="2410" w:type="dxa"/>
            <w:vAlign w:val="center"/>
          </w:tcPr>
          <w:p>
            <w:pPr>
              <w:jc w:val="center"/>
              <w:rPr>
                <w:rFonts w:hint="eastAsia" w:ascii="仿宋_GB2312" w:hAnsi="华文细黑" w:eastAsia="仿宋_GB2312" w:cs="宋体"/>
                <w:color w:val="000000"/>
              </w:rPr>
            </w:pPr>
          </w:p>
        </w:tc>
        <w:tc>
          <w:tcPr>
            <w:tcW w:w="1843" w:type="dxa"/>
            <w:vAlign w:val="center"/>
          </w:tcPr>
          <w:p>
            <w:pPr>
              <w:jc w:val="center"/>
              <w:rPr>
                <w:rFonts w:hint="eastAsia" w:ascii="仿宋_GB2312" w:hAnsi="华文细黑" w:eastAsia="仿宋_GB2312" w:cs="宋体"/>
                <w:color w:val="000000"/>
              </w:rPr>
            </w:pPr>
          </w:p>
        </w:tc>
        <w:tc>
          <w:tcPr>
            <w:tcW w:w="12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675"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2</w:t>
            </w:r>
          </w:p>
        </w:tc>
        <w:tc>
          <w:tcPr>
            <w:tcW w:w="2410" w:type="dxa"/>
            <w:vAlign w:val="center"/>
          </w:tcPr>
          <w:p>
            <w:pPr>
              <w:jc w:val="center"/>
              <w:rPr>
                <w:rFonts w:hint="eastAsia" w:ascii="仿宋_GB2312" w:hAnsi="华文细黑" w:eastAsia="仿宋_GB2312" w:cs="宋体"/>
                <w:color w:val="000000"/>
              </w:rPr>
            </w:pPr>
          </w:p>
        </w:tc>
        <w:tc>
          <w:tcPr>
            <w:tcW w:w="2410" w:type="dxa"/>
            <w:vAlign w:val="center"/>
          </w:tcPr>
          <w:p>
            <w:pPr>
              <w:jc w:val="center"/>
              <w:rPr>
                <w:rFonts w:hint="eastAsia" w:ascii="仿宋_GB2312" w:hAnsi="华文细黑" w:eastAsia="仿宋_GB2312" w:cs="宋体"/>
                <w:color w:val="000000"/>
              </w:rPr>
            </w:pPr>
          </w:p>
        </w:tc>
        <w:tc>
          <w:tcPr>
            <w:tcW w:w="1843" w:type="dxa"/>
            <w:vAlign w:val="center"/>
          </w:tcPr>
          <w:p>
            <w:pPr>
              <w:jc w:val="center"/>
              <w:rPr>
                <w:rFonts w:hint="eastAsia" w:ascii="仿宋_GB2312" w:hAnsi="华文细黑" w:eastAsia="仿宋_GB2312" w:cs="宋体"/>
                <w:color w:val="000000"/>
              </w:rPr>
            </w:pPr>
          </w:p>
        </w:tc>
        <w:tc>
          <w:tcPr>
            <w:tcW w:w="1276"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1. 列出本单位所有已立项在建的优质课程。类别指精品课程、精品视频公开课、精品资源共享课、教师教育精品资源共享课、双语课程、网络课程等；</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2.级别指校、省、国家级。</w:t>
      </w: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表9：各专业学分相关数据统计</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8"/>
        <w:gridCol w:w="740"/>
        <w:gridCol w:w="708"/>
        <w:gridCol w:w="851"/>
        <w:gridCol w:w="709"/>
        <w:gridCol w:w="850"/>
        <w:gridCol w:w="772"/>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18"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专业</w:t>
            </w:r>
          </w:p>
        </w:tc>
        <w:tc>
          <w:tcPr>
            <w:tcW w:w="678"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年级</w:t>
            </w:r>
          </w:p>
        </w:tc>
        <w:tc>
          <w:tcPr>
            <w:tcW w:w="740"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总学分</w:t>
            </w:r>
          </w:p>
        </w:tc>
        <w:tc>
          <w:tcPr>
            <w:tcW w:w="1559"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实践教学环节</w:t>
            </w:r>
          </w:p>
        </w:tc>
        <w:tc>
          <w:tcPr>
            <w:tcW w:w="1559"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专业课程</w:t>
            </w:r>
          </w:p>
        </w:tc>
        <w:tc>
          <w:tcPr>
            <w:tcW w:w="1468"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选修课程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18" w:type="dxa"/>
            <w:vMerge w:val="continue"/>
            <w:vAlign w:val="center"/>
          </w:tcPr>
          <w:p>
            <w:pPr>
              <w:jc w:val="center"/>
              <w:rPr>
                <w:rFonts w:hint="eastAsia" w:ascii="仿宋_GB2312" w:hAnsi="华文细黑" w:eastAsia="仿宋_GB2312" w:cs="宋体"/>
                <w:color w:val="000000"/>
              </w:rPr>
            </w:pPr>
          </w:p>
        </w:tc>
        <w:tc>
          <w:tcPr>
            <w:tcW w:w="678" w:type="dxa"/>
            <w:vMerge w:val="continue"/>
            <w:vAlign w:val="center"/>
          </w:tcPr>
          <w:p>
            <w:pPr>
              <w:jc w:val="center"/>
              <w:rPr>
                <w:rFonts w:hint="eastAsia" w:ascii="仿宋_GB2312" w:hAnsi="华文细黑" w:eastAsia="仿宋_GB2312" w:cs="宋体"/>
                <w:color w:val="000000"/>
              </w:rPr>
            </w:pPr>
          </w:p>
        </w:tc>
        <w:tc>
          <w:tcPr>
            <w:tcW w:w="740" w:type="dxa"/>
            <w:vMerge w:val="continue"/>
            <w:vAlign w:val="center"/>
          </w:tcPr>
          <w:p>
            <w:pPr>
              <w:jc w:val="center"/>
              <w:rPr>
                <w:rFonts w:hint="eastAsia" w:ascii="仿宋_GB2312" w:hAnsi="华文细黑" w:eastAsia="仿宋_GB2312" w:cs="宋体"/>
                <w:color w:val="000000"/>
              </w:rPr>
            </w:pPr>
          </w:p>
        </w:tc>
        <w:tc>
          <w:tcPr>
            <w:tcW w:w="708"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学分</w:t>
            </w:r>
          </w:p>
        </w:tc>
        <w:tc>
          <w:tcPr>
            <w:tcW w:w="85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709"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学分</w:t>
            </w:r>
          </w:p>
        </w:tc>
        <w:tc>
          <w:tcPr>
            <w:tcW w:w="85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772"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学分</w:t>
            </w:r>
          </w:p>
        </w:tc>
        <w:tc>
          <w:tcPr>
            <w:tcW w:w="6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18" w:type="dxa"/>
            <w:vAlign w:val="center"/>
          </w:tcPr>
          <w:p>
            <w:pPr>
              <w:jc w:val="center"/>
              <w:rPr>
                <w:rFonts w:hint="eastAsia" w:ascii="仿宋_GB2312" w:hAnsi="华文细黑" w:eastAsia="仿宋_GB2312" w:cs="宋体"/>
                <w:color w:val="000000"/>
              </w:rPr>
            </w:pPr>
          </w:p>
        </w:tc>
        <w:tc>
          <w:tcPr>
            <w:tcW w:w="678" w:type="dxa"/>
            <w:vAlign w:val="center"/>
          </w:tcPr>
          <w:p>
            <w:pPr>
              <w:jc w:val="center"/>
              <w:rPr>
                <w:rFonts w:hint="eastAsia" w:ascii="仿宋_GB2312" w:hAnsi="华文细黑" w:eastAsia="仿宋_GB2312" w:cs="宋体"/>
                <w:color w:val="000000"/>
              </w:rPr>
            </w:pPr>
          </w:p>
        </w:tc>
        <w:tc>
          <w:tcPr>
            <w:tcW w:w="740" w:type="dxa"/>
            <w:vAlign w:val="center"/>
          </w:tcPr>
          <w:p>
            <w:pPr>
              <w:jc w:val="center"/>
              <w:rPr>
                <w:rFonts w:hint="eastAsia" w:ascii="仿宋_GB2312" w:hAnsi="华文细黑" w:eastAsia="仿宋_GB2312" w:cs="宋体"/>
                <w:color w:val="000000"/>
              </w:rPr>
            </w:pPr>
          </w:p>
        </w:tc>
        <w:tc>
          <w:tcPr>
            <w:tcW w:w="708"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c>
          <w:tcPr>
            <w:tcW w:w="709"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772" w:type="dxa"/>
            <w:vAlign w:val="center"/>
          </w:tcPr>
          <w:p>
            <w:pPr>
              <w:jc w:val="center"/>
              <w:rPr>
                <w:rFonts w:hint="eastAsia" w:ascii="仿宋_GB2312" w:hAnsi="华文细黑" w:eastAsia="仿宋_GB2312" w:cs="宋体"/>
                <w:color w:val="000000"/>
              </w:rPr>
            </w:pPr>
          </w:p>
        </w:tc>
        <w:tc>
          <w:tcPr>
            <w:tcW w:w="69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18" w:type="dxa"/>
            <w:vAlign w:val="center"/>
          </w:tcPr>
          <w:p>
            <w:pPr>
              <w:jc w:val="center"/>
              <w:rPr>
                <w:rFonts w:hint="eastAsia" w:ascii="仿宋_GB2312" w:hAnsi="华文细黑" w:eastAsia="仿宋_GB2312" w:cs="宋体"/>
                <w:color w:val="000000"/>
              </w:rPr>
            </w:pPr>
          </w:p>
        </w:tc>
        <w:tc>
          <w:tcPr>
            <w:tcW w:w="678" w:type="dxa"/>
            <w:vAlign w:val="center"/>
          </w:tcPr>
          <w:p>
            <w:pPr>
              <w:jc w:val="center"/>
              <w:rPr>
                <w:rFonts w:hint="eastAsia" w:ascii="仿宋_GB2312" w:hAnsi="华文细黑" w:eastAsia="仿宋_GB2312" w:cs="宋体"/>
                <w:color w:val="000000"/>
              </w:rPr>
            </w:pPr>
          </w:p>
        </w:tc>
        <w:tc>
          <w:tcPr>
            <w:tcW w:w="740" w:type="dxa"/>
            <w:vAlign w:val="center"/>
          </w:tcPr>
          <w:p>
            <w:pPr>
              <w:jc w:val="center"/>
              <w:rPr>
                <w:rFonts w:hint="eastAsia" w:ascii="仿宋_GB2312" w:hAnsi="华文细黑" w:eastAsia="仿宋_GB2312" w:cs="宋体"/>
                <w:color w:val="000000"/>
              </w:rPr>
            </w:pPr>
          </w:p>
        </w:tc>
        <w:tc>
          <w:tcPr>
            <w:tcW w:w="708"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c>
          <w:tcPr>
            <w:tcW w:w="709"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772" w:type="dxa"/>
            <w:vAlign w:val="center"/>
          </w:tcPr>
          <w:p>
            <w:pPr>
              <w:jc w:val="center"/>
              <w:rPr>
                <w:rFonts w:hint="eastAsia" w:ascii="仿宋_GB2312" w:hAnsi="华文细黑" w:eastAsia="仿宋_GB2312" w:cs="宋体"/>
                <w:color w:val="000000"/>
              </w:rPr>
            </w:pPr>
          </w:p>
        </w:tc>
        <w:tc>
          <w:tcPr>
            <w:tcW w:w="696"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1.专业课程是指由本专业学生修读的，除公共必修课程、校选课以外的全部课程。</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2.选修课程含专业限选课程、弹性素养课程、任意选修课程、教师教育选修四类，以实际开出为准。</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3.实践教学环节学分数是指各专业培养计划所规定的集中实施的实践教学活动（包括见习、实习、毕业论文、毕业设计、社会调查等）的毕业最低总学分，“实践教学环节”统计的数据是指集中性实践教学的学分，包括课程设计、金工实习、电子工艺实习、见习、生产实习、野外考察、专业实习、毕业论文（设计）、大学生职业发展与就业指导等，不包括课程实践教学。</w:t>
      </w:r>
    </w:p>
    <w:p>
      <w:pPr>
        <w:ind w:firstLine="420" w:firstLineChars="200"/>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表10：实验教学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992"/>
        <w:gridCol w:w="1134"/>
        <w:gridCol w:w="1843"/>
        <w:gridCol w:w="155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2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专业</w:t>
            </w:r>
          </w:p>
        </w:tc>
        <w:tc>
          <w:tcPr>
            <w:tcW w:w="567"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年级</w:t>
            </w:r>
          </w:p>
        </w:tc>
        <w:tc>
          <w:tcPr>
            <w:tcW w:w="992"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实验教学学分</w:t>
            </w:r>
          </w:p>
        </w:tc>
        <w:tc>
          <w:tcPr>
            <w:tcW w:w="1134"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有实验课程的门数</w:t>
            </w:r>
          </w:p>
        </w:tc>
        <w:tc>
          <w:tcPr>
            <w:tcW w:w="184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独立设置的实验</w:t>
            </w:r>
          </w:p>
          <w:p>
            <w:pPr>
              <w:jc w:val="center"/>
              <w:rPr>
                <w:rFonts w:hint="eastAsia" w:ascii="仿宋_GB2312" w:hAnsi="华文细黑" w:eastAsia="仿宋_GB2312" w:cs="宋体"/>
                <w:color w:val="000000"/>
              </w:rPr>
            </w:pPr>
            <w:r>
              <w:rPr>
                <w:rFonts w:hint="eastAsia" w:ascii="仿宋_GB2312" w:hAnsi="华文细黑" w:eastAsia="仿宋_GB2312" w:cs="宋体"/>
                <w:color w:val="000000"/>
              </w:rPr>
              <w:t>课程门数</w:t>
            </w:r>
          </w:p>
        </w:tc>
        <w:tc>
          <w:tcPr>
            <w:tcW w:w="1559"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综合性、设计性实验门数</w:t>
            </w:r>
          </w:p>
        </w:tc>
        <w:tc>
          <w:tcPr>
            <w:tcW w:w="90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实验</w:t>
            </w:r>
          </w:p>
          <w:p>
            <w:pPr>
              <w:jc w:val="center"/>
              <w:rPr>
                <w:rFonts w:hint="eastAsia" w:ascii="仿宋_GB2312" w:hAnsi="华文细黑" w:eastAsia="仿宋_GB2312" w:cs="宋体"/>
                <w:color w:val="000000"/>
              </w:rPr>
            </w:pPr>
            <w:r>
              <w:rPr>
                <w:rFonts w:hint="eastAsia" w:ascii="仿宋_GB2312" w:hAnsi="华文细黑" w:eastAsia="仿宋_GB2312" w:cs="宋体"/>
                <w:color w:val="000000"/>
              </w:rPr>
              <w:t>开出率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26" w:type="dxa"/>
            <w:vAlign w:val="center"/>
          </w:tcPr>
          <w:p>
            <w:pPr>
              <w:jc w:val="center"/>
              <w:rPr>
                <w:rFonts w:hint="eastAsia" w:ascii="仿宋_GB2312" w:hAnsi="华文细黑" w:eastAsia="仿宋_GB2312" w:cs="宋体"/>
                <w:color w:val="000000"/>
              </w:rPr>
            </w:pPr>
          </w:p>
        </w:tc>
        <w:tc>
          <w:tcPr>
            <w:tcW w:w="567" w:type="dxa"/>
            <w:vAlign w:val="center"/>
          </w:tcPr>
          <w:p>
            <w:pPr>
              <w:jc w:val="center"/>
              <w:rPr>
                <w:rFonts w:hint="eastAsia" w:ascii="仿宋_GB2312" w:hAnsi="华文细黑" w:eastAsia="仿宋_GB2312" w:cs="宋体"/>
                <w:color w:val="000000"/>
              </w:rPr>
            </w:pPr>
          </w:p>
        </w:tc>
        <w:tc>
          <w:tcPr>
            <w:tcW w:w="992" w:type="dxa"/>
            <w:vAlign w:val="center"/>
          </w:tcPr>
          <w:p>
            <w:pPr>
              <w:jc w:val="center"/>
              <w:rPr>
                <w:rFonts w:hint="eastAsia" w:ascii="仿宋_GB2312" w:hAnsi="华文细黑" w:eastAsia="仿宋_GB2312" w:cs="宋体"/>
                <w:color w:val="000000"/>
              </w:rPr>
            </w:pPr>
          </w:p>
        </w:tc>
        <w:tc>
          <w:tcPr>
            <w:tcW w:w="1134" w:type="dxa"/>
            <w:vAlign w:val="center"/>
          </w:tcPr>
          <w:p>
            <w:pPr>
              <w:jc w:val="center"/>
              <w:rPr>
                <w:rFonts w:hint="eastAsia" w:ascii="仿宋_GB2312" w:hAnsi="华文细黑" w:eastAsia="仿宋_GB2312" w:cs="宋体"/>
                <w:color w:val="000000"/>
              </w:rPr>
            </w:pPr>
          </w:p>
        </w:tc>
        <w:tc>
          <w:tcPr>
            <w:tcW w:w="1843" w:type="dxa"/>
            <w:vAlign w:val="center"/>
          </w:tcPr>
          <w:p>
            <w:pPr>
              <w:jc w:val="center"/>
              <w:rPr>
                <w:rFonts w:hint="eastAsia" w:ascii="仿宋_GB2312" w:hAnsi="华文细黑" w:eastAsia="仿宋_GB2312" w:cs="宋体"/>
                <w:color w:val="000000"/>
              </w:rPr>
            </w:pPr>
          </w:p>
        </w:tc>
        <w:tc>
          <w:tcPr>
            <w:tcW w:w="1559" w:type="dxa"/>
            <w:vAlign w:val="center"/>
          </w:tcPr>
          <w:p>
            <w:pPr>
              <w:jc w:val="center"/>
              <w:rPr>
                <w:rFonts w:hint="eastAsia" w:ascii="仿宋_GB2312" w:hAnsi="华文细黑" w:eastAsia="仿宋_GB2312" w:cs="宋体"/>
                <w:color w:val="000000"/>
              </w:rPr>
            </w:pPr>
          </w:p>
        </w:tc>
        <w:tc>
          <w:tcPr>
            <w:tcW w:w="901"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26" w:type="dxa"/>
            <w:vAlign w:val="center"/>
          </w:tcPr>
          <w:p>
            <w:pPr>
              <w:jc w:val="center"/>
              <w:rPr>
                <w:rFonts w:hint="eastAsia" w:ascii="仿宋_GB2312" w:hAnsi="华文细黑" w:eastAsia="仿宋_GB2312" w:cs="宋体"/>
                <w:color w:val="000000"/>
              </w:rPr>
            </w:pPr>
          </w:p>
        </w:tc>
        <w:tc>
          <w:tcPr>
            <w:tcW w:w="567" w:type="dxa"/>
            <w:vAlign w:val="center"/>
          </w:tcPr>
          <w:p>
            <w:pPr>
              <w:jc w:val="center"/>
              <w:rPr>
                <w:rFonts w:hint="eastAsia" w:ascii="仿宋_GB2312" w:hAnsi="华文细黑" w:eastAsia="仿宋_GB2312" w:cs="宋体"/>
                <w:color w:val="000000"/>
              </w:rPr>
            </w:pPr>
          </w:p>
        </w:tc>
        <w:tc>
          <w:tcPr>
            <w:tcW w:w="992" w:type="dxa"/>
            <w:vAlign w:val="center"/>
          </w:tcPr>
          <w:p>
            <w:pPr>
              <w:jc w:val="center"/>
              <w:rPr>
                <w:rFonts w:hint="eastAsia" w:ascii="仿宋_GB2312" w:hAnsi="华文细黑" w:eastAsia="仿宋_GB2312" w:cs="宋体"/>
                <w:color w:val="000000"/>
              </w:rPr>
            </w:pPr>
          </w:p>
        </w:tc>
        <w:tc>
          <w:tcPr>
            <w:tcW w:w="1134" w:type="dxa"/>
            <w:vAlign w:val="center"/>
          </w:tcPr>
          <w:p>
            <w:pPr>
              <w:jc w:val="center"/>
              <w:rPr>
                <w:rFonts w:hint="eastAsia" w:ascii="仿宋_GB2312" w:hAnsi="华文细黑" w:eastAsia="仿宋_GB2312" w:cs="宋体"/>
                <w:color w:val="000000"/>
              </w:rPr>
            </w:pPr>
          </w:p>
        </w:tc>
        <w:tc>
          <w:tcPr>
            <w:tcW w:w="1843" w:type="dxa"/>
            <w:vAlign w:val="center"/>
          </w:tcPr>
          <w:p>
            <w:pPr>
              <w:jc w:val="center"/>
              <w:rPr>
                <w:rFonts w:hint="eastAsia" w:ascii="仿宋_GB2312" w:hAnsi="华文细黑" w:eastAsia="仿宋_GB2312" w:cs="宋体"/>
                <w:color w:val="000000"/>
              </w:rPr>
            </w:pPr>
          </w:p>
        </w:tc>
        <w:tc>
          <w:tcPr>
            <w:tcW w:w="1559" w:type="dxa"/>
            <w:vAlign w:val="center"/>
          </w:tcPr>
          <w:p>
            <w:pPr>
              <w:jc w:val="center"/>
              <w:rPr>
                <w:rFonts w:hint="eastAsia" w:ascii="仿宋_GB2312" w:hAnsi="华文细黑" w:eastAsia="仿宋_GB2312" w:cs="宋体"/>
                <w:color w:val="000000"/>
              </w:rPr>
            </w:pPr>
          </w:p>
        </w:tc>
        <w:tc>
          <w:tcPr>
            <w:tcW w:w="901"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表11：教师承担本科课程情况</w:t>
      </w:r>
    </w:p>
    <w:tbl>
      <w:tblPr>
        <w:tblStyle w:val="3"/>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850"/>
        <w:gridCol w:w="851"/>
        <w:gridCol w:w="850"/>
        <w:gridCol w:w="851"/>
        <w:gridCol w:w="850"/>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34" w:type="dxa"/>
            <w:vMerge w:val="restart"/>
            <w:vAlign w:val="center"/>
          </w:tcPr>
          <w:p>
            <w:pPr>
              <w:tabs>
                <w:tab w:val="left" w:pos="510"/>
              </w:tabs>
              <w:jc w:val="center"/>
              <w:rPr>
                <w:rFonts w:hint="eastAsia" w:ascii="仿宋_GB2312" w:hAnsi="华文细黑" w:eastAsia="仿宋_GB2312" w:cs="宋体"/>
                <w:color w:val="000000"/>
              </w:rPr>
            </w:pPr>
            <w:r>
              <w:rPr>
                <w:rFonts w:hint="eastAsia" w:ascii="仿宋_GB2312" w:hAnsi="华文细黑" w:eastAsia="仿宋_GB2312" w:cs="宋体"/>
                <w:color w:val="000000"/>
              </w:rPr>
              <w:t>全院开设课程</w:t>
            </w:r>
          </w:p>
          <w:p>
            <w:pPr>
              <w:tabs>
                <w:tab w:val="left" w:pos="510"/>
              </w:tabs>
              <w:jc w:val="center"/>
              <w:rPr>
                <w:rFonts w:hint="eastAsia" w:ascii="仿宋_GB2312" w:hAnsi="华文细黑" w:eastAsia="仿宋_GB2312" w:cs="宋体"/>
                <w:color w:val="000000"/>
              </w:rPr>
            </w:pPr>
            <w:r>
              <w:rPr>
                <w:rFonts w:hint="eastAsia" w:ascii="仿宋_GB2312" w:hAnsi="华文细黑" w:eastAsia="仿宋_GB2312" w:cs="宋体"/>
                <w:color w:val="000000"/>
              </w:rPr>
              <w:t>总门数</w:t>
            </w:r>
          </w:p>
        </w:tc>
        <w:tc>
          <w:tcPr>
            <w:tcW w:w="1701"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教授</w:t>
            </w:r>
          </w:p>
        </w:tc>
        <w:tc>
          <w:tcPr>
            <w:tcW w:w="1701"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副教授</w:t>
            </w:r>
          </w:p>
        </w:tc>
        <w:tc>
          <w:tcPr>
            <w:tcW w:w="1701"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讲师</w:t>
            </w:r>
          </w:p>
        </w:tc>
        <w:tc>
          <w:tcPr>
            <w:tcW w:w="1701"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34" w:type="dxa"/>
            <w:vMerge w:val="continue"/>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门数</w:t>
            </w:r>
          </w:p>
        </w:tc>
        <w:tc>
          <w:tcPr>
            <w:tcW w:w="85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85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门数</w:t>
            </w:r>
          </w:p>
        </w:tc>
        <w:tc>
          <w:tcPr>
            <w:tcW w:w="85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85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门数</w:t>
            </w:r>
          </w:p>
        </w:tc>
        <w:tc>
          <w:tcPr>
            <w:tcW w:w="85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85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门数</w:t>
            </w:r>
          </w:p>
        </w:tc>
        <w:tc>
          <w:tcPr>
            <w:tcW w:w="85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734"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c>
          <w:tcPr>
            <w:tcW w:w="850" w:type="dxa"/>
            <w:vAlign w:val="center"/>
          </w:tcPr>
          <w:p>
            <w:pPr>
              <w:jc w:val="center"/>
              <w:rPr>
                <w:rFonts w:hint="eastAsia" w:ascii="仿宋_GB2312" w:hAnsi="华文细黑" w:eastAsia="仿宋_GB2312" w:cs="宋体"/>
                <w:color w:val="000000"/>
              </w:rPr>
            </w:pPr>
          </w:p>
        </w:tc>
        <w:tc>
          <w:tcPr>
            <w:tcW w:w="851"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r>
        <w:rPr>
          <w:rFonts w:hint="eastAsia" w:ascii="仿宋_GB2312" w:hAnsi="华文细黑" w:eastAsia="仿宋_GB2312" w:cs="宋体"/>
          <w:color w:val="000000"/>
        </w:rPr>
        <w:t>备注：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 xml:space="preserve"> 1. 只统计本单位的情况。课程总门数是指学年度内实际开设的本科培养计划内课程总数，跨学期讲授的同一门课程计一门；</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2.“课程总门数”按照课程代码计算，如果出现同一门课程多位教师承担，请按以下方法计算：如A课程分别由一名教授、两名副教授、一名讲师承担，请在教授、副教授、讲师一栏分别计入1、2、1，课程总门数不变，计入“1”；</w:t>
      </w:r>
    </w:p>
    <w:p>
      <w:pPr>
        <w:ind w:firstLine="420" w:firstLineChars="200"/>
        <w:rPr>
          <w:rFonts w:hint="eastAsia" w:ascii="仿宋_GB2312" w:hAnsi="华文细黑" w:eastAsia="仿宋_GB2312" w:cs="宋体"/>
          <w:color w:val="000000"/>
        </w:rPr>
      </w:pPr>
      <w:r>
        <w:rPr>
          <w:rFonts w:hint="eastAsia" w:ascii="仿宋_GB2312" w:hAnsi="华文细黑" w:eastAsia="仿宋_GB2312" w:cs="宋体"/>
          <w:color w:val="000000"/>
        </w:rPr>
        <w:t>3. 一门课程的全部课时均由一名教师授课，计为1，由多名教师共同承担的，按实际承担的学时比例计算。</w:t>
      </w: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表12：教授授课情况</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01"/>
        <w:gridCol w:w="1560"/>
        <w:gridCol w:w="1984"/>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42"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教授总数</w:t>
            </w:r>
          </w:p>
        </w:tc>
        <w:tc>
          <w:tcPr>
            <w:tcW w:w="3261"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主讲本科课程教授</w:t>
            </w:r>
          </w:p>
        </w:tc>
        <w:tc>
          <w:tcPr>
            <w:tcW w:w="4019"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为一、二年级授课教授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42" w:type="dxa"/>
            <w:vMerge w:val="continue"/>
            <w:vAlign w:val="center"/>
          </w:tcPr>
          <w:p>
            <w:pPr>
              <w:jc w:val="center"/>
              <w:rPr>
                <w:rFonts w:hint="eastAsia" w:ascii="仿宋_GB2312" w:hAnsi="华文细黑" w:eastAsia="仿宋_GB2312" w:cs="宋体"/>
                <w:color w:val="000000"/>
              </w:rPr>
            </w:pPr>
          </w:p>
        </w:tc>
        <w:tc>
          <w:tcPr>
            <w:tcW w:w="1701"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人数</w:t>
            </w:r>
          </w:p>
        </w:tc>
        <w:tc>
          <w:tcPr>
            <w:tcW w:w="1560"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c>
          <w:tcPr>
            <w:tcW w:w="1984"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人数</w:t>
            </w:r>
          </w:p>
        </w:tc>
        <w:tc>
          <w:tcPr>
            <w:tcW w:w="2035"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42" w:type="dxa"/>
            <w:vAlign w:val="center"/>
          </w:tcPr>
          <w:p>
            <w:pPr>
              <w:jc w:val="center"/>
              <w:rPr>
                <w:rFonts w:hint="eastAsia" w:ascii="仿宋_GB2312" w:hAnsi="华文细黑" w:eastAsia="仿宋_GB2312" w:cs="宋体"/>
                <w:color w:val="000000"/>
              </w:rPr>
            </w:pPr>
          </w:p>
        </w:tc>
        <w:tc>
          <w:tcPr>
            <w:tcW w:w="1701" w:type="dxa"/>
            <w:vAlign w:val="center"/>
          </w:tcPr>
          <w:p>
            <w:pPr>
              <w:jc w:val="center"/>
              <w:rPr>
                <w:rFonts w:hint="eastAsia" w:ascii="仿宋_GB2312" w:hAnsi="华文细黑" w:eastAsia="仿宋_GB2312" w:cs="宋体"/>
                <w:color w:val="000000"/>
              </w:rPr>
            </w:pPr>
          </w:p>
        </w:tc>
        <w:tc>
          <w:tcPr>
            <w:tcW w:w="1560" w:type="dxa"/>
            <w:vAlign w:val="center"/>
          </w:tcPr>
          <w:p>
            <w:pPr>
              <w:jc w:val="center"/>
              <w:rPr>
                <w:rFonts w:hint="eastAsia" w:ascii="仿宋_GB2312" w:hAnsi="华文细黑" w:eastAsia="仿宋_GB2312" w:cs="宋体"/>
                <w:color w:val="000000"/>
              </w:rPr>
            </w:pPr>
          </w:p>
        </w:tc>
        <w:tc>
          <w:tcPr>
            <w:tcW w:w="1984" w:type="dxa"/>
            <w:vAlign w:val="center"/>
          </w:tcPr>
          <w:p>
            <w:pPr>
              <w:jc w:val="center"/>
              <w:rPr>
                <w:rFonts w:hint="eastAsia" w:ascii="仿宋_GB2312" w:hAnsi="华文细黑" w:eastAsia="仿宋_GB2312" w:cs="宋体"/>
                <w:color w:val="000000"/>
              </w:rPr>
            </w:pPr>
          </w:p>
        </w:tc>
        <w:tc>
          <w:tcPr>
            <w:tcW w:w="2035"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表13：应届毕业生情况</w:t>
      </w:r>
    </w:p>
    <w:tbl>
      <w:tblPr>
        <w:tblStyle w:val="3"/>
        <w:tblW w:w="8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6"/>
        <w:gridCol w:w="4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项目</w:t>
            </w:r>
          </w:p>
        </w:tc>
        <w:tc>
          <w:tcPr>
            <w:tcW w:w="4197"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一次性毕业率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一次性学位授予率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读研率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初次就业率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英语四级（专业四级）累计通过率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英语六级（专业八级）累计通过率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计算机等级考试累计通过率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普通话累计通过率</w:t>
            </w:r>
          </w:p>
        </w:tc>
        <w:tc>
          <w:tcPr>
            <w:tcW w:w="4197"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19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体质测试达标率</w:t>
            </w:r>
          </w:p>
        </w:tc>
        <w:tc>
          <w:tcPr>
            <w:tcW w:w="4197" w:type="dxa"/>
            <w:vAlign w:val="center"/>
          </w:tcPr>
          <w:p>
            <w:pPr>
              <w:jc w:val="center"/>
              <w:rPr>
                <w:rFonts w:hint="eastAsia" w:ascii="仿宋_GB2312" w:hAnsi="华文细黑" w:eastAsia="仿宋_GB2312" w:cs="宋体"/>
                <w:color w:val="000000"/>
              </w:rPr>
            </w:pPr>
          </w:p>
        </w:tc>
      </w:tr>
    </w:tbl>
    <w:p>
      <w:pPr>
        <w:rPr>
          <w:rFonts w:hint="eastAsia" w:ascii="仿宋_GB2312" w:hAnsi="华文细黑" w:eastAsia="仿宋_GB2312" w:cs="宋体"/>
          <w:color w:val="000000"/>
        </w:rPr>
      </w:pPr>
    </w:p>
    <w:p>
      <w:pPr>
        <w:rPr>
          <w:rFonts w:hint="eastAsia" w:ascii="仿宋_GB2312" w:hAnsi="华文细黑" w:eastAsia="仿宋_GB2312" w:cs="宋体"/>
          <w:color w:val="000000"/>
        </w:rPr>
      </w:pPr>
    </w:p>
    <w:p>
      <w:pPr>
        <w:rPr>
          <w:rFonts w:hint="eastAsia" w:ascii="仿宋_GB2312" w:hAnsi="华文细黑" w:eastAsia="仿宋_GB2312" w:cs="宋体"/>
          <w:color w:val="000000"/>
        </w:rPr>
      </w:pPr>
      <w:r>
        <w:rPr>
          <w:rFonts w:hint="eastAsia" w:ascii="仿宋_GB2312" w:hAnsi="华文细黑" w:eastAsia="仿宋_GB2312" w:cs="宋体"/>
          <w:color w:val="000000"/>
        </w:rPr>
        <w:t>表14：学生发展情况</w:t>
      </w:r>
    </w:p>
    <w:tbl>
      <w:tblPr>
        <w:tblStyle w:val="3"/>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9"/>
        <w:gridCol w:w="1403"/>
        <w:gridCol w:w="2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项目</w:t>
            </w: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级别</w:t>
            </w:r>
          </w:p>
        </w:tc>
        <w:tc>
          <w:tcPr>
            <w:tcW w:w="2876"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学科竞赛获奖</w:t>
            </w: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校级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省部级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国家级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创新活动、技能竞赛获奖</w:t>
            </w: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校级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省部级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国家级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restart"/>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文艺、体育竞赛获奖</w:t>
            </w: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校级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省部级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159" w:type="dxa"/>
            <w:vMerge w:val="continue"/>
            <w:vAlign w:val="center"/>
          </w:tcPr>
          <w:p>
            <w:pPr>
              <w:jc w:val="center"/>
              <w:rPr>
                <w:rFonts w:hint="eastAsia" w:ascii="仿宋_GB2312" w:hAnsi="华文细黑" w:eastAsia="仿宋_GB2312" w:cs="宋体"/>
                <w:color w:val="000000"/>
              </w:rPr>
            </w:pPr>
          </w:p>
        </w:tc>
        <w:tc>
          <w:tcPr>
            <w:tcW w:w="1403" w:type="dxa"/>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国家级</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学生发表学术论文数</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学生发表作品数</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学生获准专利数</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职业资格证书获取数</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英语四级（专业四级）一次性通过率</w:t>
            </w:r>
          </w:p>
        </w:tc>
        <w:tc>
          <w:tcPr>
            <w:tcW w:w="2876" w:type="dxa"/>
            <w:vAlign w:val="center"/>
          </w:tcPr>
          <w:p>
            <w:pPr>
              <w:jc w:val="center"/>
              <w:rPr>
                <w:rFonts w:hint="eastAsia" w:ascii="仿宋_GB2312" w:hAnsi="华文细黑" w:eastAsia="仿宋_GB2312"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5562" w:type="dxa"/>
            <w:gridSpan w:val="2"/>
            <w:vAlign w:val="center"/>
          </w:tcPr>
          <w:p>
            <w:pPr>
              <w:jc w:val="center"/>
              <w:rPr>
                <w:rFonts w:hint="eastAsia" w:ascii="仿宋_GB2312" w:hAnsi="华文细黑" w:eastAsia="仿宋_GB2312" w:cs="宋体"/>
                <w:color w:val="000000"/>
              </w:rPr>
            </w:pPr>
            <w:r>
              <w:rPr>
                <w:rFonts w:hint="eastAsia" w:ascii="仿宋_GB2312" w:hAnsi="华文细黑" w:eastAsia="仿宋_GB2312" w:cs="宋体"/>
                <w:color w:val="000000"/>
              </w:rPr>
              <w:t>英语六级（专业八级）一次性通过率</w:t>
            </w:r>
          </w:p>
        </w:tc>
        <w:tc>
          <w:tcPr>
            <w:tcW w:w="2876" w:type="dxa"/>
            <w:vAlign w:val="center"/>
          </w:tcPr>
          <w:p>
            <w:pPr>
              <w:jc w:val="center"/>
              <w:rPr>
                <w:rFonts w:hint="eastAsia" w:ascii="仿宋_GB2312" w:hAnsi="华文细黑" w:eastAsia="仿宋_GB2312" w:cs="宋体"/>
                <w:color w:val="000000"/>
              </w:rPr>
            </w:pPr>
          </w:p>
        </w:tc>
      </w:tr>
    </w:tbl>
    <w:p>
      <w:pPr>
        <w:spacing w:line="324" w:lineRule="auto"/>
        <w:ind w:right="-153" w:rightChars="-73"/>
        <w:jc w:val="center"/>
        <w:rPr>
          <w:rFonts w:hint="eastAsia" w:ascii="仿宋" w:hAnsi="仿宋" w:eastAsia="仿宋"/>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538BF"/>
    <w:rsid w:val="717538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2017-12-22T01:14:00Z</dcterms:created>
  <dc:creator>hnsd</dc:creator>
  <cp:lastModifiedBy>hnsd</cp:lastModifiedBy>
  <dcterms:modified xsi:type="dcterms:W3CDTF">2017-12-22T01:14:32Z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